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2836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64" w:lineRule="auto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数据分析过程与结果呈现说明</w:t>
      </w:r>
      <w:bookmarkStart w:id="7" w:name="_GoBack"/>
      <w:bookmarkEnd w:id="7"/>
    </w:p>
    <w:p w14:paraId="78308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cstheme="minorBidi"/>
          <w:b/>
          <w:bCs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3DFDB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b/>
          <w:bCs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文章</w:t>
      </w:r>
      <w:r>
        <w:rPr>
          <w:rFonts w:hint="eastAsia" w:ascii="Times New Roman" w:hAnsi="Times New Roman" w:eastAsia="宋体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题目</w:t>
      </w:r>
      <w:r>
        <w:rPr>
          <w:rFonts w:hint="eastAsia" w:ascii="Times New Roman" w:hAnsi="Times New Roman" w:eastAsia="宋体" w:cstheme="minorBidi"/>
          <w:b w:val="0"/>
          <w:bCs w:val="0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宋体" w:cstheme="minorBidi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企业数字化转型中员工工作重塑的</w:t>
      </w:r>
      <w:r>
        <w:rPr>
          <w:rFonts w:hint="eastAsia" w:eastAsia="宋体" w:cstheme="minorBidi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组态</w:t>
      </w:r>
      <w:r>
        <w:rPr>
          <w:rFonts w:hint="eastAsia" w:eastAsia="宋体" w:cstheme="minorBidi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路径研究</w:t>
      </w:r>
      <w:r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——基于个人-环境匹配理论的</w:t>
      </w:r>
      <w:r>
        <w:rPr>
          <w:rFonts w:hint="eastAsia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fsQCA</w:t>
      </w:r>
      <w:r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分析</w:t>
      </w:r>
    </w:p>
    <w:p w14:paraId="167839D3">
      <w:pPr>
        <w:keepNext w:val="0"/>
        <w:keepLines w:val="0"/>
        <w:pageBreakBefore w:val="0"/>
        <w:widowControl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0" w:firstLineChars="200"/>
        <w:jc w:val="left"/>
        <w:textAlignment w:val="auto"/>
        <w:rPr>
          <w:rFonts w:hint="default" w:ascii="Times New Roman" w:hAnsi="Times New Roman" w:eastAsia="宋体" w:cs="Arial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以下为对本文数据分析相关过程的说明，包括对于缩减真值表、各变量校准公式、必要性条件检验、充分性条件分析、各路径隶属度计算等方面的说明。</w:t>
      </w:r>
    </w:p>
    <w:p w14:paraId="22907D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ascii="Times New Roman" w:hAnsi="Times New Roman" w:eastAsia="宋体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8B47A7E">
      <w:pPr>
        <w:bidi w:val="0"/>
        <w:rPr>
          <w:rFonts w:hint="eastAsia"/>
          <w:lang w:val="en-US" w:eastAsia="zh-CN"/>
        </w:rPr>
      </w:pPr>
    </w:p>
    <w:p w14:paraId="008347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 w:line="24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/>
          <w:kern w:val="2"/>
          <w:sz w:val="21"/>
          <w:szCs w:val="21"/>
        </w:rPr>
        <w:t>缩减真值表</w:t>
      </w:r>
    </w:p>
    <w:p w14:paraId="37CB479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通过三步来缩减真值表，以决定哪些案例可以进入充分性分析的布尔最小化过程。首先，为避免基于频次过低的组态情况进行推断，并保留至少80%的个案，选择2作为截断点（Frazier等，2016）</w:t>
      </w:r>
      <w:r>
        <w:rPr>
          <w:rFonts w:hint="eastAsia" w:cs="Times New Roman" w:eastAsiaTheme="minor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[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instrText xml:space="preserve"> PAGEREF _Ref3905 \h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cs="Times New Roman" w:eastAsiaTheme="minor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]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。原始数据涵盖了7种元素排列组合的88种组态，保留频次为2及以上的组态后，还有283个</w:t>
      </w:r>
      <w:bookmarkStart w:id="0" w:name="OLE_LINK3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案例</w:t>
      </w:r>
      <w:bookmarkEnd w:id="0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、53种组态需要进一步分析。其次，使用0.80作为原始一致性（raw consistency）的最低阈值（Fiss，2011）</w:t>
      </w:r>
      <w:r>
        <w:rPr>
          <w:rFonts w:hint="eastAsia" w:cs="Times New Roman" w:eastAsiaTheme="minor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[2]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。第三步，选择0.6作为不一致性分数（proportional reduction of inconsistency，Pri）的最低阈值（李丽源等，2023）</w:t>
      </w:r>
      <w:r>
        <w:rPr>
          <w:rFonts w:hint="eastAsia" w:cs="Times New Roman" w:eastAsiaTheme="minor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[3]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。频次≥2，原始一致性分数≥0.8，且Pri一致性≥0.6的前因组态被认为是结果集合的子集，反之则不是。</w:t>
      </w:r>
    </w:p>
    <w:p w14:paraId="1B5C6C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cs="Times New Roman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参考文献</w:t>
      </w:r>
    </w:p>
    <w:p w14:paraId="7723E17C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bookmarkStart w:id="1" w:name="_Ref3905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Frazier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M.L.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 Tupper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and S. Fainshmidt. The Path(s) to Employee Trust in Direct Supervisor in Nascent and Established Relationships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 Fuzzy Set Analysis[J]. Journal of Organizational Behavior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37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(7):1023-1043.</w:t>
      </w:r>
      <w:bookmarkEnd w:id="1"/>
    </w:p>
    <w:p w14:paraId="6F99F0EF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bookmarkStart w:id="2" w:name="_Ref4042"/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Fiss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P.C. Building Better Causal Theories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 Fuzzy Set Approach to Typologies in Organization Research[J].Academy of Management Journal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2011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54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(2):393-420.</w:t>
      </w:r>
      <w:bookmarkEnd w:id="2"/>
    </w:p>
    <w:p w14:paraId="67AAE2B4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李丽源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高祥宇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郑晓明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员工积极主动行为的组态效应：基于过程的视角[J].北京:心理学报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2023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(5):792-811.</w:t>
      </w:r>
    </w:p>
    <w:p w14:paraId="48B8F9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 w:line="24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  <w:t>二、各变量校准</w:t>
      </w:r>
    </w:p>
    <w:p w14:paraId="5C0AF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本文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采用内部校准法，即利用样本内部的相对高低进行校准。具体而言，将各变量的均值设置为该变量的交叉点，高于（或低于）均值一个标准差作为完全隶属于（或完全不隶属于）的阈值。</w:t>
      </w:r>
    </w:p>
    <w:p w14:paraId="6EE629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具体操作中，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fsQCA 3.0软件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对各变量的校准，具体校准公示如下：</w:t>
      </w:r>
    </w:p>
    <w:p w14:paraId="03986E45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fa1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calibrate(a1,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4.9488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4.2311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3.5135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754505B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fa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calibrate(a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4.6385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3.9260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3.2136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3DBA45C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fa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calibrate(a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4.6602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3.9167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3.1731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4B67B97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4.5275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3.9350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3.3425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683F26FC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b2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4.0186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3.2820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2.5454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716BD51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b3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b3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4.6413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3.9942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3.3470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7A631C2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b4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b4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4.6368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3.9591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3.2814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156E3393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4.5691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3.9145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3.2599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6A7B188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c2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calibrate(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4.3166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3.6502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2.9837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24804707">
      <w:pPr>
        <w:ind w:firstLine="300" w:firstLineChars="200"/>
        <w:rPr>
          <w:rFonts w:hint="default" w:ascii="Times New Roman" w:hAnsi="Times New Roman" w:cs="Times New Roman" w:eastAsiaTheme="minorEastAsia"/>
          <w:color w:val="000000" w:themeColor="text1"/>
          <w:sz w:val="15"/>
          <w:szCs w:val="15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sz w:val="15"/>
          <w:szCs w:val="15"/>
          <w:lang w:val="en-US" w:eastAsia="zh-CN"/>
        </w:rPr>
        <w:t>注：以上公式中，fa1代表校准后的数字化导向，fa2代表校准后的数字技术可供性，fa3代表校准后的数字变革型领导力，fb1代表校准后的促进定向，fb2代表校准后的预防定向，fb3代表校准后的数字化转型开放性，fb4代表校准后的建设性变革责任感，fc1代表校准后的促进型工作重塑，fc2代表校准后的预防型工作重塑。</w:t>
      </w:r>
      <w:r>
        <w:rPr>
          <w:rFonts w:hint="eastAsia" w:cs="Times New Roman"/>
          <w:sz w:val="15"/>
          <w:szCs w:val="15"/>
          <w:lang w:val="en-US" w:eastAsia="zh-CN"/>
        </w:rPr>
        <w:t>下同。</w:t>
      </w:r>
    </w:p>
    <w:p w14:paraId="4A5B6AE4">
      <w:pP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1D8A38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default" w:ascii="宋体" w:hAnsi="宋体" w:eastAsia="宋体" w:cs="宋体"/>
          <w:b/>
          <w:kern w:val="2"/>
          <w:sz w:val="21"/>
          <w:szCs w:val="21"/>
          <w:lang w:val="en-US" w:eastAsia="zh-CN"/>
        </w:rPr>
      </w:pPr>
      <w:bookmarkStart w:id="3" w:name="OLE_LINK1"/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  <w:t>三、对于结果变量的单个条件的必要性检验输出结果</w:t>
      </w:r>
    </w:p>
    <w:p w14:paraId="1FD19E4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</w:rPr>
      </w:pPr>
      <w:bookmarkStart w:id="4" w:name="OLE_LINK4"/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1.对于高促进型工作重塑的</w:t>
      </w:r>
      <w:r>
        <w:rPr>
          <w:rFonts w:hint="eastAsia" w:ascii="Times New Roman" w:hAnsi="Times New Roman" w:eastAsia="宋体"/>
          <w:sz w:val="21"/>
          <w:szCs w:val="21"/>
        </w:rPr>
        <w:t>单个条件的必要性检验</w:t>
      </w:r>
    </w:p>
    <w:p w14:paraId="272A595D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对于高促进型工作重塑的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单个条件的必要性检验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在fsQCA 3.0中的分析结果如图1所示。</w:t>
      </w:r>
    </w:p>
    <w:bookmarkEnd w:id="3"/>
    <w:bookmarkEnd w:id="4"/>
    <w:p w14:paraId="0E316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Times New Roman" w:hAnsi="Times New Roman" w:eastAsia="宋体" w:cs="Times New Roman"/>
          <w:b/>
          <w:bCs/>
          <w:sz w:val="18"/>
          <w:szCs w:val="18"/>
        </w:rPr>
      </w:pPr>
      <w:r>
        <w:rPr>
          <w:rFonts w:ascii="Times New Roman" w:hAnsi="Times New Roman" w:eastAsia="宋体" w:cs="Times New Roman"/>
          <w:b/>
          <w:bCs/>
          <w:sz w:val="18"/>
          <w:szCs w:val="18"/>
        </w:rPr>
        <w:drawing>
          <wp:inline distT="0" distB="0" distL="114300" distR="114300">
            <wp:extent cx="2787015" cy="3046730"/>
            <wp:effectExtent l="0" t="0" r="13335" b="1270"/>
            <wp:docPr id="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FBC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图1  对于高促进型工作重塑的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</w:rPr>
        <w:t>单个条件的必要性检验</w:t>
      </w:r>
    </w:p>
    <w:p w14:paraId="4A7228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3.0数据分析后结果输出截图</w:t>
      </w:r>
    </w:p>
    <w:p w14:paraId="0693B7B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2.对于低促进型工作重塑的单个条件的必要性检验</w:t>
      </w:r>
    </w:p>
    <w:p w14:paraId="6168140C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对于低促进型工作重塑的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单个条件的必要性检验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在fsQCA 3.0中的分析结果如图2所示。</w:t>
      </w:r>
    </w:p>
    <w:p w14:paraId="59788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drawing>
          <wp:inline distT="0" distB="0" distL="114300" distR="114300">
            <wp:extent cx="2772410" cy="3242310"/>
            <wp:effectExtent l="0" t="0" r="8890" b="15240"/>
            <wp:docPr id="4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324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82B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图2  对于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低促进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型工作重塑的单个条件的必要性检验</w:t>
      </w:r>
    </w:p>
    <w:p w14:paraId="3C1BC5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3.0数据分析后结果输出截图</w:t>
      </w:r>
    </w:p>
    <w:p w14:paraId="3B94AEC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bookmarkStart w:id="5" w:name="OLE_LINK2"/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3.对于高预防型工作重塑的单个条件的必要性检验</w:t>
      </w:r>
    </w:p>
    <w:p w14:paraId="1ADF5387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对于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高预防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型工作重塑的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单个条件的必要性检验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在fsQCA 3.0中的分析结果如图2所示。</w:t>
      </w:r>
    </w:p>
    <w:bookmarkEnd w:id="5"/>
    <w:p w14:paraId="284A0D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drawing>
          <wp:inline distT="0" distB="0" distL="114300" distR="114300">
            <wp:extent cx="2466975" cy="2867025"/>
            <wp:effectExtent l="0" t="0" r="9525" b="9525"/>
            <wp:docPr id="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CC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对于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高预防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型工作重塑的单个条件的必要性检验</w:t>
      </w:r>
    </w:p>
    <w:p w14:paraId="10EBAC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3.0数据分析后结果输出截图</w:t>
      </w:r>
    </w:p>
    <w:p w14:paraId="490A6A2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4.对于低预防型工作重塑的单个条件的必要性检验</w:t>
      </w:r>
    </w:p>
    <w:p w14:paraId="65FA237D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对于低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预防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型工作重塑的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单个条件的必要性检验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在fsQCA 3.0中的分析结果如图2所示。</w:t>
      </w:r>
    </w:p>
    <w:p w14:paraId="26156A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drawing>
          <wp:inline distT="0" distB="0" distL="114300" distR="114300">
            <wp:extent cx="2828925" cy="3219450"/>
            <wp:effectExtent l="0" t="0" r="9525" b="0"/>
            <wp:docPr id="5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748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图4  对于低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预防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型工作重塑的单个条件的必要性检验</w:t>
      </w:r>
    </w:p>
    <w:p w14:paraId="155BB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3.0数据分析后结果输出截图</w:t>
      </w:r>
    </w:p>
    <w:p w14:paraId="6006B633"/>
    <w:p w14:paraId="15186D1F"/>
    <w:p w14:paraId="1A05D6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default" w:ascii="宋体" w:hAnsi="宋体" w:eastAsia="宋体" w:cs="宋体"/>
          <w:b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  <w:t>四、充分性条件分析</w:t>
      </w:r>
    </w:p>
    <w:p w14:paraId="1DBA69E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1.对于高促进型工作重塑的充分性条件分析</w:t>
      </w:r>
    </w:p>
    <w:p w14:paraId="37D561E3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缩减真值表后，对高促进型工作重塑的充分性条件分析过程中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所需选择的条件组态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，在fsQCA 3.0中的具体操作如图5-图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所示。</w:t>
      </w:r>
    </w:p>
    <w:p w14:paraId="331F1968">
      <w:r>
        <w:drawing>
          <wp:inline distT="0" distB="0" distL="114300" distR="114300">
            <wp:extent cx="5268595" cy="1689735"/>
            <wp:effectExtent l="0" t="0" r="8255" b="571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21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图5  对于高促进型工作重塑的充分性条件分析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中条件组态选择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操作步骤1</w:t>
      </w:r>
    </w:p>
    <w:p w14:paraId="2F6DD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3.0数据分析中的操作过程截图</w:t>
      </w:r>
    </w:p>
    <w:p w14:paraId="520B25C1">
      <w:r>
        <w:drawing>
          <wp:inline distT="0" distB="0" distL="114300" distR="114300">
            <wp:extent cx="5269230" cy="1753870"/>
            <wp:effectExtent l="0" t="0" r="7620" b="1778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F09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bookmarkStart w:id="6" w:name="OLE_LINK5"/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对于高促进型工作重塑的充分性条件分析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中条件组态选择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操作步骤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2</w:t>
      </w:r>
    </w:p>
    <w:p w14:paraId="11193E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3.0数据分析中的操作过程截图</w:t>
      </w:r>
    </w:p>
    <w:bookmarkEnd w:id="6"/>
    <w:p w14:paraId="093A421E">
      <w:r>
        <w:drawing>
          <wp:inline distT="0" distB="0" distL="114300" distR="114300">
            <wp:extent cx="5272405" cy="1680210"/>
            <wp:effectExtent l="0" t="0" r="4445" b="1524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9FF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对于高促进型工作重塑的充分性条件分析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中条件组态选择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操作步骤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3</w:t>
      </w:r>
    </w:p>
    <w:p w14:paraId="420B4B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3.0数据分析中的操作过程截图</w:t>
      </w:r>
    </w:p>
    <w:p w14:paraId="2FAC7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对高促进型工作重塑的充分性条件分析后，得出的简约解如图8所示，中间解如图9所示。</w:t>
      </w:r>
    </w:p>
    <w:p w14:paraId="43F80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drawing>
          <wp:inline distT="0" distB="0" distL="114300" distR="114300">
            <wp:extent cx="4905375" cy="2314575"/>
            <wp:effectExtent l="0" t="0" r="9525" b="9525"/>
            <wp:docPr id="5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227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高促进型工作重塑的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简约解结果</w:t>
      </w:r>
    </w:p>
    <w:p w14:paraId="0FA28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34656254">
      <w:pPr>
        <w:jc w:val="center"/>
      </w:pPr>
      <w:r>
        <w:drawing>
          <wp:inline distT="0" distB="0" distL="114300" distR="114300">
            <wp:extent cx="5269230" cy="2685415"/>
            <wp:effectExtent l="0" t="0" r="7620" b="63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8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887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高促进型工作重塑的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中间解结果</w:t>
      </w:r>
    </w:p>
    <w:p w14:paraId="45BD5C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49A41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因为在做解释案例图时候，需要用到各路径的具体案例，所以在此进一步呈现数据分析后给出的各路径所对应具体案例。其中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路径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1_3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所示，路径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1_1b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1_2b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1_4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所示，路径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1_5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1_1a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所示，路径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1_2a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所示。</w:t>
      </w:r>
    </w:p>
    <w:p w14:paraId="15C20C35">
      <w:r>
        <w:drawing>
          <wp:inline distT="0" distB="0" distL="114300" distR="114300">
            <wp:extent cx="5270500" cy="3455670"/>
            <wp:effectExtent l="0" t="0" r="635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ED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路径1_3解释案例</w:t>
      </w:r>
    </w:p>
    <w:p w14:paraId="6A00B2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2F93034C">
      <w:r>
        <w:drawing>
          <wp:inline distT="0" distB="0" distL="114300" distR="114300">
            <wp:extent cx="5271770" cy="4182745"/>
            <wp:effectExtent l="0" t="0" r="5080" b="825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18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1E9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路径1_1b、1_2b、1_4解释案例</w:t>
      </w:r>
    </w:p>
    <w:p w14:paraId="110672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382E2C53">
      <w:r>
        <w:drawing>
          <wp:inline distT="0" distB="0" distL="114300" distR="114300">
            <wp:extent cx="5271135" cy="3653155"/>
            <wp:effectExtent l="0" t="0" r="5715" b="44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5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CCC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路径1_5、1_1a解释案例</w:t>
      </w:r>
    </w:p>
    <w:p w14:paraId="14E09B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519B4CA5">
      <w:r>
        <w:drawing>
          <wp:inline distT="0" distB="0" distL="114300" distR="114300">
            <wp:extent cx="5272405" cy="2549525"/>
            <wp:effectExtent l="0" t="0" r="4445" b="317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FE8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13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路径1_2a解释案例</w:t>
      </w:r>
    </w:p>
    <w:p w14:paraId="47303E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4F3EF27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422" w:firstLineChars="200"/>
        <w:textAlignment w:val="auto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2.对于高预防型工作重塑的充分性条件分析</w:t>
      </w:r>
    </w:p>
    <w:p w14:paraId="6B74F33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缩减真值表后，对高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预防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型工作重塑的充分性条件分析过程中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所需选择的条件组态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，在fsQCA 3.0中的具体操作如图</w:t>
      </w:r>
      <w:r>
        <w:rPr>
          <w:rFonts w:hint="eastAsia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Times New Roman" w:hAnsi="Times New Roman" w:cs="Times New Roman" w:eastAsia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所示。</w:t>
      </w:r>
    </w:p>
    <w:p w14:paraId="776A9305">
      <w:pPr>
        <w:rPr>
          <w:rFonts w:hint="eastAsia"/>
          <w:lang w:val="en-US" w:eastAsia="zh-CN"/>
        </w:rPr>
      </w:pPr>
    </w:p>
    <w:p w14:paraId="4DF8407D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drawing>
          <wp:inline distT="0" distB="0" distL="114300" distR="114300">
            <wp:extent cx="5271135" cy="1839595"/>
            <wp:effectExtent l="0" t="0" r="5715" b="8255"/>
            <wp:docPr id="5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02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14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对于高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预防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型工作重塑的充分性条件分析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中条件组态选择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操作步骤</w:t>
      </w:r>
    </w:p>
    <w:p w14:paraId="33BA22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3.0数据分析中的操作过程截图</w:t>
      </w:r>
    </w:p>
    <w:p w14:paraId="2D5B2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对高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预防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型工作重塑的充分性条件分析后，得出的简约解如图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所示，中间解如图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所示。</w:t>
      </w:r>
    </w:p>
    <w:p w14:paraId="7192B80B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drawing>
          <wp:inline distT="0" distB="0" distL="114300" distR="114300">
            <wp:extent cx="4629150" cy="1676400"/>
            <wp:effectExtent l="0" t="0" r="0" b="0"/>
            <wp:docPr id="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726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15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高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预防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简约解结果</w:t>
      </w:r>
    </w:p>
    <w:p w14:paraId="2D3BF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 xml:space="preserve">fsQCA 3.0数据分析结果截图 </w:t>
      </w:r>
      <w:r>
        <w:drawing>
          <wp:inline distT="0" distB="0" distL="114300" distR="114300">
            <wp:extent cx="5273040" cy="2157730"/>
            <wp:effectExtent l="0" t="0" r="3810" b="13970"/>
            <wp:docPr id="5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524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16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高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预防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型工作重塑的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简约解结果</w:t>
      </w:r>
    </w:p>
    <w:p w14:paraId="0D0C0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67EB2D4D">
      <w:pP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 w14:paraId="690BF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路径</w:t>
      </w:r>
      <w:r>
        <w:rPr>
          <w:rFonts w:hint="default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2_1a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所示，路径</w:t>
      </w:r>
      <w:r>
        <w:rPr>
          <w:rFonts w:hint="default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2_1b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default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2_2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default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2_3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解释案例如图</w:t>
      </w:r>
      <w:r>
        <w:rPr>
          <w:rFonts w:hint="eastAsia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所示。</w:t>
      </w:r>
    </w:p>
    <w:p w14:paraId="37499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center"/>
        <w:textAlignment w:val="auto"/>
      </w:pPr>
      <w:r>
        <w:drawing>
          <wp:inline distT="0" distB="0" distL="114300" distR="114300">
            <wp:extent cx="5271770" cy="3401060"/>
            <wp:effectExtent l="0" t="0" r="508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0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393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17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路径2_1a解释案例</w:t>
      </w:r>
    </w:p>
    <w:p w14:paraId="2B2D6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1A0A764B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drawing>
          <wp:inline distT="0" distB="0" distL="114300" distR="114300">
            <wp:extent cx="5272405" cy="3978910"/>
            <wp:effectExtent l="0" t="0" r="4445" b="254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7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FCE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18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路径2_1b、2_2、2_3解释案例</w:t>
      </w:r>
    </w:p>
    <w:p w14:paraId="4F1997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3.0数据分析结果截图</w:t>
      </w:r>
    </w:p>
    <w:p w14:paraId="71FA17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/>
        </w:rPr>
        <w:t>五、各路径隶属度计算</w:t>
      </w:r>
    </w:p>
    <w:p w14:paraId="37FD8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由于需要根据各路径的隶属度绘制各路径的解释案例图，故本文进一步计算各路径的隶属度。具体操作如图19所示。</w:t>
      </w:r>
    </w:p>
    <w:p w14:paraId="294132AF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drawing>
          <wp:inline distT="0" distB="0" distL="114300" distR="114300">
            <wp:extent cx="4657725" cy="4610100"/>
            <wp:effectExtent l="0" t="0" r="9525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40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Times New Roman"/>
          <w:b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图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19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Times New Roman"/>
          <w:b/>
          <w:bCs/>
          <w:sz w:val="18"/>
          <w:szCs w:val="18"/>
          <w:lang w:val="en-US" w:eastAsia="zh-CN"/>
        </w:rPr>
        <w:t>各路径隶属度计算过程</w:t>
      </w:r>
    </w:p>
    <w:p w14:paraId="3B3F0C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Times New Roman"/>
          <w:b/>
          <w:bCs/>
          <w:sz w:val="18"/>
          <w:szCs w:val="18"/>
          <w:lang w:val="en-US" w:eastAsia="zh-CN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cs="Times New Roman"/>
          <w:sz w:val="15"/>
          <w:szCs w:val="15"/>
          <w:lang w:val="en-US" w:eastAsia="zh-CN"/>
        </w:rPr>
        <w:t>fsQCA 3.0数据分析过程截图</w:t>
      </w:r>
    </w:p>
    <w:p w14:paraId="2FADD380">
      <w:pPr>
        <w:ind w:firstLine="30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sz w:val="15"/>
          <w:szCs w:val="15"/>
          <w:lang w:val="en-US" w:eastAsia="zh-CN"/>
        </w:rPr>
        <w:t>注：fa12代表非fa1，fa22代表非fa2，fa32代表非fa3，fb22代表非fb2；fc11代表路径1_1a的隶属度，fc12代表路径1_1b的隶属度，fc13代表路径1_2a的隶属度，fc14代表路径1_2b的隶属度，fc15代表路径1_3的隶属度，fc16代表路径1_4的隶属度，fc17代表路径1_5的隶属度，fc21代表路径2_1a的隶属度，fc22代表路径2_1b的隶属度，fc23代表路径2_2的隶属度，fc24代表路径2_3的隶属度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0AC8B"/>
    <w:multiLevelType w:val="singleLevel"/>
    <w:tmpl w:val="2F30AC8B"/>
    <w:lvl w:ilvl="0" w:tentative="0">
      <w:start w:val="1"/>
      <w:numFmt w:val="decimal"/>
      <w:isLgl/>
      <w:suff w:val="nothing"/>
      <w:lvlText w:val="[%1]"/>
      <w:lvlJc w:val="left"/>
      <w:pPr>
        <w:tabs>
          <w:tab w:val="left" w:pos="0"/>
        </w:tabs>
        <w:ind w:left="0" w:leftChars="0" w:firstLine="0" w:firstLineChars="0"/>
      </w:pPr>
      <w:rPr>
        <w:rFonts w:hint="default" w:ascii="Times New Roman" w:hAnsi="Times New Roman" w:eastAsia="宋体" w:cs="Times New Roman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6C86"/>
    <w:rsid w:val="065C255C"/>
    <w:rsid w:val="08BA2A32"/>
    <w:rsid w:val="095347F5"/>
    <w:rsid w:val="098C1EB8"/>
    <w:rsid w:val="0B304DED"/>
    <w:rsid w:val="0ED525F7"/>
    <w:rsid w:val="0F6B0534"/>
    <w:rsid w:val="108C767E"/>
    <w:rsid w:val="10D34B99"/>
    <w:rsid w:val="110B6A73"/>
    <w:rsid w:val="11DC271C"/>
    <w:rsid w:val="12003C2D"/>
    <w:rsid w:val="14E902AD"/>
    <w:rsid w:val="17897698"/>
    <w:rsid w:val="183121A5"/>
    <w:rsid w:val="18A46304"/>
    <w:rsid w:val="195C58EE"/>
    <w:rsid w:val="1A3655BF"/>
    <w:rsid w:val="1B742AD4"/>
    <w:rsid w:val="1B7F1479"/>
    <w:rsid w:val="1BAD5FE6"/>
    <w:rsid w:val="1D693CDF"/>
    <w:rsid w:val="1DC70F6E"/>
    <w:rsid w:val="20284BA9"/>
    <w:rsid w:val="2149055F"/>
    <w:rsid w:val="21702A62"/>
    <w:rsid w:val="21D843A4"/>
    <w:rsid w:val="21E651CE"/>
    <w:rsid w:val="226376A8"/>
    <w:rsid w:val="23713D9D"/>
    <w:rsid w:val="245F009A"/>
    <w:rsid w:val="24EC34EB"/>
    <w:rsid w:val="252235A1"/>
    <w:rsid w:val="257A2699"/>
    <w:rsid w:val="27767BD4"/>
    <w:rsid w:val="278653AE"/>
    <w:rsid w:val="27FE38FB"/>
    <w:rsid w:val="295509DF"/>
    <w:rsid w:val="2A9E3EA6"/>
    <w:rsid w:val="2BBC796B"/>
    <w:rsid w:val="2C7566AC"/>
    <w:rsid w:val="2CC66F08"/>
    <w:rsid w:val="2DE03063"/>
    <w:rsid w:val="2E9969D4"/>
    <w:rsid w:val="2F8A73AE"/>
    <w:rsid w:val="30A83506"/>
    <w:rsid w:val="34497358"/>
    <w:rsid w:val="367479D5"/>
    <w:rsid w:val="37C17F79"/>
    <w:rsid w:val="37DE3663"/>
    <w:rsid w:val="3A054EA2"/>
    <w:rsid w:val="3CAA5AB6"/>
    <w:rsid w:val="3D4B4766"/>
    <w:rsid w:val="3DD31485"/>
    <w:rsid w:val="3DF338D5"/>
    <w:rsid w:val="3E5A5179"/>
    <w:rsid w:val="40D7128C"/>
    <w:rsid w:val="412B474D"/>
    <w:rsid w:val="43F9776B"/>
    <w:rsid w:val="462705C0"/>
    <w:rsid w:val="481C264A"/>
    <w:rsid w:val="492D2DDC"/>
    <w:rsid w:val="49F1754B"/>
    <w:rsid w:val="4D0F5A22"/>
    <w:rsid w:val="4EF303B6"/>
    <w:rsid w:val="4F506C42"/>
    <w:rsid w:val="5062662B"/>
    <w:rsid w:val="5125610B"/>
    <w:rsid w:val="51F168C5"/>
    <w:rsid w:val="54120B01"/>
    <w:rsid w:val="5680469D"/>
    <w:rsid w:val="580E0345"/>
    <w:rsid w:val="58801DB1"/>
    <w:rsid w:val="595B4CF8"/>
    <w:rsid w:val="601F3AD8"/>
    <w:rsid w:val="62AB4ABC"/>
    <w:rsid w:val="6B3D5AF2"/>
    <w:rsid w:val="6E9A2048"/>
    <w:rsid w:val="6F074B8A"/>
    <w:rsid w:val="6FEC1DAE"/>
    <w:rsid w:val="70C33ED4"/>
    <w:rsid w:val="711D67C4"/>
    <w:rsid w:val="73470D6A"/>
    <w:rsid w:val="740177D3"/>
    <w:rsid w:val="74965B02"/>
    <w:rsid w:val="772E3A8F"/>
    <w:rsid w:val="78D626EB"/>
    <w:rsid w:val="78DB675D"/>
    <w:rsid w:val="79B56D03"/>
    <w:rsid w:val="7D121A23"/>
    <w:rsid w:val="7EE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 w:line="560" w:lineRule="exact"/>
      <w:jc w:val="center"/>
      <w:outlineLvl w:val="0"/>
    </w:pPr>
    <w:rPr>
      <w:rFonts w:eastAsia="方正小标宋简体" w:asciiTheme="minorAscii" w:hAnsiTheme="minorAscii" w:cstheme="minorBidi"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unhideWhenUsed/>
    <w:qFormat/>
    <w:uiPriority w:val="0"/>
    <w:pPr>
      <w:keepNext/>
      <w:keepLines/>
      <w:spacing w:before="0" w:beforeLines="0" w:after="0" w:afterLines="0" w:line="560" w:lineRule="atLeast"/>
      <w:ind w:firstLine="881" w:firstLineChars="200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Times New Roman" w:hAnsi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endnote text"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ndnote reference"/>
    <w:qFormat/>
    <w:uiPriority w:val="0"/>
    <w:rPr>
      <w:vertAlign w:val="superscript"/>
    </w:rPr>
  </w:style>
  <w:style w:type="character" w:styleId="14">
    <w:name w:val="footnote reference"/>
    <w:basedOn w:val="11"/>
    <w:qFormat/>
    <w:uiPriority w:val="0"/>
    <w:rPr>
      <w:vertAlign w:val="superscript"/>
    </w:rPr>
  </w:style>
  <w:style w:type="character" w:customStyle="1" w:styleId="15">
    <w:name w:val="标题 2 字符"/>
    <w:link w:val="3"/>
    <w:qFormat/>
    <w:uiPriority w:val="0"/>
    <w:rPr>
      <w:rFonts w:ascii="Arial" w:hAnsi="Arial" w:eastAsia="黑体" w:cs="Times New Roman"/>
      <w:b/>
      <w:sz w:val="32"/>
    </w:rPr>
  </w:style>
  <w:style w:type="character" w:customStyle="1" w:styleId="16">
    <w:name w:val="fontstyle21"/>
    <w:basedOn w:val="11"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17">
    <w:name w:val="fontstyle01"/>
    <w:basedOn w:val="11"/>
    <w:qFormat/>
    <w:uiPriority w:val="0"/>
    <w:rPr>
      <w:rFonts w:hint="default" w:ascii="Times New Roman" w:hAnsi="Times New Roman" w:cs="Times New Roman"/>
      <w:b/>
      <w:color w:val="000000"/>
      <w:sz w:val="28"/>
      <w:szCs w:val="28"/>
    </w:rPr>
  </w:style>
  <w:style w:type="character" w:customStyle="1" w:styleId="18">
    <w:name w:val="font71"/>
    <w:basedOn w:val="11"/>
    <w:qFormat/>
    <w:uiPriority w:val="0"/>
    <w:rPr>
      <w:rFonts w:hint="eastAsia" w:ascii="宋体" w:hAnsi="宋体" w:eastAsia="宋体" w:cs="宋体"/>
      <w:color w:val="auto"/>
      <w:sz w:val="20"/>
      <w:szCs w:val="20"/>
      <w:u w:val="none"/>
    </w:rPr>
  </w:style>
  <w:style w:type="character" w:customStyle="1" w:styleId="19">
    <w:name w:val="font61"/>
    <w:basedOn w:val="11"/>
    <w:qFormat/>
    <w:uiPriority w:val="0"/>
    <w:rPr>
      <w:rFonts w:hint="default" w:ascii="monospace" w:hAnsi="monospace" w:eastAsia="monospace" w:cs="monospace"/>
      <w:color w:val="333399"/>
      <w:sz w:val="18"/>
      <w:szCs w:val="18"/>
      <w:u w:val="none"/>
    </w:rPr>
  </w:style>
  <w:style w:type="character" w:customStyle="1" w:styleId="20">
    <w:name w:val="font81"/>
    <w:basedOn w:val="11"/>
    <w:qFormat/>
    <w:uiPriority w:val="0"/>
    <w:rPr>
      <w:rFonts w:hint="eastAsia" w:ascii="等线" w:hAnsi="等线" w:eastAsia="等线" w:cs="等线"/>
      <w:color w:val="333399"/>
      <w:sz w:val="18"/>
      <w:szCs w:val="18"/>
      <w:u w:val="none"/>
    </w:rPr>
  </w:style>
  <w:style w:type="character" w:customStyle="1" w:styleId="21">
    <w:name w:val="font101"/>
    <w:basedOn w:val="11"/>
    <w:qFormat/>
    <w:uiPriority w:val="0"/>
    <w:rPr>
      <w:rFonts w:hint="eastAsia" w:ascii="宋体" w:hAnsi="宋体" w:eastAsia="宋体" w:cs="宋体"/>
      <w:color w:val="333399"/>
      <w:sz w:val="18"/>
      <w:szCs w:val="18"/>
      <w:u w:val="none"/>
    </w:rPr>
  </w:style>
  <w:style w:type="character" w:customStyle="1" w:styleId="22">
    <w:name w:val="font91"/>
    <w:basedOn w:val="11"/>
    <w:qFormat/>
    <w:uiPriority w:val="0"/>
    <w:rPr>
      <w:rFonts w:hint="default" w:ascii="Times New Roman" w:hAnsi="Times New Roman" w:cs="Times New Roman"/>
      <w:color w:val="333399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2243</Words>
  <Characters>3321</Characters>
  <Lines>0</Lines>
  <Paragraphs>0</Paragraphs>
  <TotalTime>4</TotalTime>
  <ScaleCrop>false</ScaleCrop>
  <LinksUpToDate>false</LinksUpToDate>
  <CharactersWithSpaces>3428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2022-02-24T03:38:00Z</dcterms:created>
  <dc:creator>xiaowanzi</dc:creator>
  <cp:lastModifiedBy>小丸子</cp:lastModifiedBy>
  <dcterms:modified xsi:type="dcterms:W3CDTF">2025-04-11T00:57:26Z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eyJoZGlkIjoiYTc2ZGZiNzZiNDVlOGViOWVmM2JhOTY0NGJkNjUyYzgiLCJ1c2VySWQiOiI0Mjc0NzA3ODYifQ==</vt:lpwstr>
  </property>
  <property fmtid="{D5CDD505-2E9C-101B-9397-08002B2CF9AE}" pid="4" name="ICV">
    <vt:lpwstr>54CB105B4DAC4D529335B3BD2A8F6E2E_12</vt:lpwstr>
  </property>
</Properties>
</file>